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68" w:line="432" w:lineRule="atLeast"/>
        <w:jc w:val="center"/>
        <w:outlineLvl w:val="1"/>
        <w:rPr>
          <w:rFonts w:hint="default" w:eastAsia="Times New Roman" w:cstheme="minorHAnsi"/>
          <w:b/>
          <w:sz w:val="36"/>
          <w:szCs w:val="36"/>
          <w:lang w:val="en-US" w:eastAsia="en-GB"/>
        </w:rPr>
      </w:pPr>
      <w:r>
        <w:rPr>
          <w:rFonts w:eastAsia="Times New Roman" w:cstheme="minorHAnsi"/>
          <w:b/>
          <w:sz w:val="36"/>
          <w:szCs w:val="36"/>
          <w:lang w:eastAsia="en-GB"/>
        </w:rPr>
        <w:t>Treating customers fairly policy</w:t>
      </w:r>
      <w:r>
        <w:rPr>
          <w:rFonts w:hint="default" w:eastAsia="Times New Roman" w:cstheme="minorHAnsi"/>
          <w:b/>
          <w:sz w:val="36"/>
          <w:szCs w:val="36"/>
          <w:lang w:val="en-US" w:eastAsia="en-GB"/>
        </w:rPr>
        <w:t xml:space="preserve"> - Updated 03/07/2023</w:t>
      </w:r>
    </w:p>
    <w:p>
      <w:pPr>
        <w:shd w:val="clear" w:color="auto" w:fill="FFFFFF"/>
        <w:spacing w:before="480" w:after="240" w:line="432" w:lineRule="atLeast"/>
        <w:outlineLvl w:val="2"/>
        <w:rPr>
          <w:rFonts w:eastAsia="Times New Roman" w:cstheme="minorHAnsi"/>
          <w:b/>
          <w:sz w:val="28"/>
          <w:szCs w:val="28"/>
          <w:lang w:eastAsia="en-GB"/>
        </w:rPr>
      </w:pPr>
      <w:r>
        <w:rPr>
          <w:rFonts w:eastAsia="Times New Roman" w:cstheme="minorHAnsi"/>
          <w:b/>
          <w:sz w:val="28"/>
          <w:szCs w:val="28"/>
          <w:lang w:eastAsia="en-GB"/>
        </w:rPr>
        <w:t>Introduction</w:t>
      </w:r>
      <w:bookmarkStart w:id="0" w:name="_GoBack"/>
      <w:bookmarkEnd w:id="0"/>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The Financial Conduct Authority’s (FCA) Treating Customers Fairly (TCF) Principle 6 requires a firm to pay due regard to the interests of its clients and treat them fairly. We are fully committed to TCF and this Policy has been designed to demonstrate the application of TCF during our day to day activities.</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TCF is embedded throughout the FCA’s Handbook and the FCA’s six core consumer outcomes are embedded in our firm.  These are:</w:t>
      </w:r>
    </w:p>
    <w:p>
      <w:pPr>
        <w:numPr>
          <w:ilvl w:val="0"/>
          <w:numId w:val="3"/>
        </w:numPr>
        <w:shd w:val="clear" w:color="auto" w:fill="FFFFFF"/>
        <w:spacing w:after="24" w:line="432" w:lineRule="atLeast"/>
        <w:jc w:val="both"/>
        <w:rPr>
          <w:rFonts w:eastAsia="Times New Roman" w:cstheme="minorHAnsi"/>
          <w:lang w:eastAsia="en-GB"/>
        </w:rPr>
      </w:pPr>
      <w:r>
        <w:rPr>
          <w:rFonts w:eastAsia="Times New Roman" w:cstheme="minorHAnsi"/>
          <w:lang w:eastAsia="en-GB"/>
        </w:rPr>
        <w:t>Consumers can be confident they are dealing with firms where TCF is central to the corporate culture.</w:t>
      </w:r>
    </w:p>
    <w:p>
      <w:pPr>
        <w:numPr>
          <w:ilvl w:val="0"/>
          <w:numId w:val="3"/>
        </w:numPr>
        <w:shd w:val="clear" w:color="auto" w:fill="FFFFFF"/>
        <w:spacing w:after="24" w:line="432" w:lineRule="atLeast"/>
        <w:jc w:val="both"/>
        <w:rPr>
          <w:rFonts w:eastAsia="Times New Roman" w:cstheme="minorHAnsi"/>
          <w:lang w:eastAsia="en-GB"/>
        </w:rPr>
      </w:pPr>
      <w:r>
        <w:rPr>
          <w:rFonts w:eastAsia="Times New Roman" w:cstheme="minorHAnsi"/>
          <w:lang w:eastAsia="en-GB"/>
        </w:rPr>
        <w:t>Products and services marketed and sold in the retail market are designed to meet the needs of identified consumer groups and targeted accordingly.</w:t>
      </w:r>
    </w:p>
    <w:p>
      <w:pPr>
        <w:numPr>
          <w:ilvl w:val="0"/>
          <w:numId w:val="3"/>
        </w:numPr>
        <w:shd w:val="clear" w:color="auto" w:fill="FFFFFF"/>
        <w:spacing w:after="24" w:line="432" w:lineRule="atLeast"/>
        <w:jc w:val="both"/>
        <w:rPr>
          <w:rFonts w:eastAsia="Times New Roman" w:cstheme="minorHAnsi"/>
          <w:lang w:eastAsia="en-GB"/>
        </w:rPr>
      </w:pPr>
      <w:r>
        <w:rPr>
          <w:rFonts w:eastAsia="Times New Roman" w:cstheme="minorHAnsi"/>
          <w:lang w:eastAsia="en-GB"/>
        </w:rPr>
        <w:t>Consumers are provided with clear information and are kept appropriately informed before, during and after the point of sale.</w:t>
      </w:r>
    </w:p>
    <w:p>
      <w:pPr>
        <w:numPr>
          <w:ilvl w:val="0"/>
          <w:numId w:val="3"/>
        </w:numPr>
        <w:shd w:val="clear" w:color="auto" w:fill="FFFFFF"/>
        <w:spacing w:after="24" w:line="432" w:lineRule="atLeast"/>
        <w:jc w:val="both"/>
        <w:rPr>
          <w:rFonts w:eastAsia="Times New Roman" w:cstheme="minorHAnsi"/>
          <w:lang w:eastAsia="en-GB"/>
        </w:rPr>
      </w:pPr>
      <w:r>
        <w:rPr>
          <w:rFonts w:eastAsia="Times New Roman" w:cstheme="minorHAnsi"/>
          <w:lang w:eastAsia="en-GB"/>
        </w:rPr>
        <w:t>Where consumers receive advice, the advice is suitable and takes account of their circumstances.</w:t>
      </w:r>
    </w:p>
    <w:p>
      <w:pPr>
        <w:numPr>
          <w:ilvl w:val="0"/>
          <w:numId w:val="3"/>
        </w:numPr>
        <w:shd w:val="clear" w:color="auto" w:fill="FFFFFF"/>
        <w:spacing w:after="24" w:line="432" w:lineRule="atLeast"/>
        <w:jc w:val="both"/>
        <w:rPr>
          <w:rFonts w:eastAsia="Times New Roman" w:cstheme="minorHAnsi"/>
          <w:lang w:eastAsia="en-GB"/>
        </w:rPr>
      </w:pPr>
      <w:r>
        <w:rPr>
          <w:rFonts w:eastAsia="Times New Roman" w:cstheme="minorHAnsi"/>
          <w:lang w:eastAsia="en-GB"/>
        </w:rPr>
        <w:t>Consumers are provided with products that perform as firms have led them to expect and the associated service is both of an acceptable standard and as they have been led to expect.</w:t>
      </w:r>
    </w:p>
    <w:p>
      <w:pPr>
        <w:numPr>
          <w:ilvl w:val="0"/>
          <w:numId w:val="3"/>
        </w:numPr>
        <w:shd w:val="clear" w:color="auto" w:fill="FFFFFF"/>
        <w:spacing w:after="24" w:line="432" w:lineRule="atLeast"/>
        <w:jc w:val="both"/>
        <w:rPr>
          <w:rFonts w:eastAsia="Times New Roman" w:cstheme="minorHAnsi"/>
          <w:lang w:eastAsia="en-GB"/>
        </w:rPr>
      </w:pPr>
      <w:r>
        <w:rPr>
          <w:rFonts w:eastAsia="Times New Roman" w:cstheme="minorHAnsi"/>
          <w:lang w:eastAsia="en-GB"/>
        </w:rPr>
        <w:t>Consumers do not face unreasonable post-sale barriers imposed by firms to change product, switch provider, submit a claim or make a complaint.</w:t>
      </w:r>
    </w:p>
    <w:p>
      <w:pPr>
        <w:shd w:val="clear" w:color="auto" w:fill="FFFFFF"/>
        <w:spacing w:after="24" w:line="432" w:lineRule="atLeast"/>
        <w:ind w:left="720"/>
        <w:jc w:val="both"/>
        <w:rPr>
          <w:rFonts w:eastAsia="Times New Roman" w:cstheme="minorHAnsi"/>
          <w:lang w:eastAsia="en-GB"/>
        </w:rPr>
      </w:pPr>
    </w:p>
    <w:p>
      <w:pPr>
        <w:shd w:val="clear" w:color="auto" w:fill="FFFFFF"/>
        <w:spacing w:after="120" w:line="432" w:lineRule="atLeast"/>
        <w:jc w:val="both"/>
        <w:rPr>
          <w:rFonts w:eastAsia="Times New Roman" w:cstheme="minorHAnsi"/>
          <w:lang w:eastAsia="en-GB"/>
        </w:rPr>
      </w:pPr>
      <w:r>
        <w:rPr>
          <w:rFonts w:eastAsia="Times New Roman" w:cstheme="minorHAnsi"/>
          <w:b/>
          <w:bCs/>
          <w:lang w:eastAsia="en-GB"/>
        </w:rPr>
        <w:t>Our TCF Mission Statement</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We will act with integrity in everything we do and put our customers at the heart of our business.</w:t>
      </w:r>
    </w:p>
    <w:p>
      <w:pPr>
        <w:shd w:val="clear" w:color="auto" w:fill="FFFFFF"/>
        <w:spacing w:after="120" w:line="432" w:lineRule="atLeast"/>
        <w:jc w:val="both"/>
        <w:rPr>
          <w:rFonts w:eastAsia="Times New Roman" w:cstheme="minorHAnsi"/>
          <w:b/>
          <w:bCs/>
          <w:lang w:eastAsia="en-GB"/>
        </w:rPr>
      </w:pPr>
    </w:p>
    <w:p>
      <w:pPr>
        <w:shd w:val="clear" w:color="auto" w:fill="FFFFFF"/>
        <w:spacing w:after="120" w:line="432" w:lineRule="atLeast"/>
        <w:jc w:val="both"/>
        <w:rPr>
          <w:rFonts w:eastAsia="Times New Roman" w:cstheme="minorHAnsi"/>
          <w:b/>
          <w:bCs/>
          <w:lang w:eastAsia="en-GB"/>
        </w:rPr>
      </w:pPr>
    </w:p>
    <w:p>
      <w:pPr>
        <w:shd w:val="clear" w:color="auto" w:fill="FFFFFF"/>
        <w:spacing w:after="120" w:line="432" w:lineRule="atLeast"/>
        <w:jc w:val="both"/>
        <w:rPr>
          <w:rFonts w:eastAsia="Times New Roman" w:cstheme="minorHAnsi"/>
          <w:lang w:eastAsia="en-GB"/>
        </w:rPr>
      </w:pPr>
      <w:r>
        <w:rPr>
          <w:rFonts w:eastAsia="Times New Roman" w:cstheme="minorHAnsi"/>
          <w:b/>
          <w:bCs/>
          <w:lang w:eastAsia="en-GB"/>
        </w:rPr>
        <w:t>Our TCF Principles</w:t>
      </w:r>
    </w:p>
    <w:p>
      <w:pPr>
        <w:numPr>
          <w:ilvl w:val="0"/>
          <w:numId w:val="4"/>
        </w:numPr>
        <w:shd w:val="clear" w:color="auto" w:fill="FFFFFF"/>
        <w:spacing w:after="24" w:line="432" w:lineRule="atLeast"/>
        <w:jc w:val="both"/>
        <w:rPr>
          <w:rFonts w:eastAsia="Times New Roman" w:cstheme="minorHAnsi"/>
          <w:lang w:eastAsia="en-GB"/>
        </w:rPr>
      </w:pPr>
      <w:r>
        <w:rPr>
          <w:rFonts w:eastAsia="Times New Roman" w:cstheme="minorHAnsi"/>
          <w:lang w:eastAsia="en-GB"/>
        </w:rPr>
        <w:t>Customers will be provided with clear information and kept appropriately informed before, during and after the point of sale.</w:t>
      </w:r>
    </w:p>
    <w:p>
      <w:pPr>
        <w:numPr>
          <w:ilvl w:val="0"/>
          <w:numId w:val="4"/>
        </w:numPr>
        <w:shd w:val="clear" w:color="auto" w:fill="FFFFFF"/>
        <w:spacing w:after="24" w:line="432" w:lineRule="atLeast"/>
        <w:jc w:val="both"/>
        <w:rPr>
          <w:rFonts w:eastAsia="Times New Roman" w:cstheme="minorHAnsi"/>
          <w:lang w:eastAsia="en-GB"/>
        </w:rPr>
      </w:pPr>
      <w:r>
        <w:rPr>
          <w:rFonts w:eastAsia="Times New Roman" w:cstheme="minorHAnsi"/>
          <w:lang w:eastAsia="en-GB"/>
        </w:rPr>
        <w:t>If we give advice to our customers, the advice will be suitable and take account of their circumstances.</w:t>
      </w:r>
    </w:p>
    <w:p>
      <w:pPr>
        <w:numPr>
          <w:ilvl w:val="0"/>
          <w:numId w:val="4"/>
        </w:numPr>
        <w:shd w:val="clear" w:color="auto" w:fill="FFFFFF"/>
        <w:spacing w:after="24" w:line="432" w:lineRule="atLeast"/>
        <w:jc w:val="both"/>
        <w:rPr>
          <w:rFonts w:eastAsia="Times New Roman" w:cstheme="minorHAnsi"/>
          <w:lang w:eastAsia="en-GB"/>
        </w:rPr>
      </w:pPr>
      <w:r>
        <w:rPr>
          <w:rFonts w:eastAsia="Times New Roman" w:cstheme="minorHAnsi"/>
          <w:lang w:eastAsia="en-GB"/>
        </w:rPr>
        <w:t>Our level of service and product performance will meet the expectations of our customers as far as reasonably possible.</w:t>
      </w:r>
    </w:p>
    <w:p>
      <w:pPr>
        <w:numPr>
          <w:ilvl w:val="0"/>
          <w:numId w:val="4"/>
        </w:numPr>
        <w:shd w:val="clear" w:color="auto" w:fill="FFFFFF"/>
        <w:spacing w:after="24" w:line="432" w:lineRule="atLeast"/>
        <w:jc w:val="both"/>
        <w:rPr>
          <w:rFonts w:eastAsia="Times New Roman" w:cstheme="minorHAnsi"/>
          <w:lang w:eastAsia="en-GB"/>
        </w:rPr>
      </w:pPr>
      <w:r>
        <w:rPr>
          <w:rFonts w:eastAsia="Times New Roman" w:cstheme="minorHAnsi"/>
          <w:lang w:eastAsia="en-GB"/>
        </w:rPr>
        <w:t>We will ensure that there is no barrier for customers to express their requests, concerns or complaints, and will always be responsive to them.</w:t>
      </w:r>
    </w:p>
    <w:p>
      <w:pPr>
        <w:numPr>
          <w:ilvl w:val="0"/>
          <w:numId w:val="4"/>
        </w:numPr>
        <w:shd w:val="clear" w:color="auto" w:fill="FFFFFF"/>
        <w:spacing w:after="24" w:line="432" w:lineRule="atLeast"/>
        <w:jc w:val="both"/>
        <w:rPr>
          <w:rFonts w:eastAsia="Times New Roman" w:cstheme="minorHAnsi"/>
          <w:lang w:eastAsia="en-GB"/>
        </w:rPr>
      </w:pPr>
      <w:r>
        <w:rPr>
          <w:rFonts w:eastAsia="Times New Roman" w:cstheme="minorHAnsi"/>
          <w:lang w:eastAsia="en-GB"/>
        </w:rPr>
        <w:t>Products and services will be designed to meet the needs of our customers.</w:t>
      </w:r>
    </w:p>
    <w:p>
      <w:pPr>
        <w:shd w:val="clear" w:color="auto" w:fill="FFFFFF"/>
        <w:spacing w:after="24" w:line="432" w:lineRule="atLeast"/>
        <w:ind w:left="720"/>
        <w:rPr>
          <w:rFonts w:eastAsia="Times New Roman" w:cstheme="minorHAnsi"/>
          <w:lang w:eastAsia="en-GB"/>
        </w:rPr>
      </w:pPr>
    </w:p>
    <w:p>
      <w:pPr>
        <w:shd w:val="clear" w:color="auto" w:fill="FFFFFF"/>
        <w:spacing w:after="120" w:line="432" w:lineRule="atLeast"/>
        <w:rPr>
          <w:rFonts w:eastAsia="Times New Roman" w:cstheme="minorHAnsi"/>
          <w:sz w:val="28"/>
          <w:szCs w:val="28"/>
          <w:lang w:eastAsia="en-GB"/>
        </w:rPr>
      </w:pPr>
      <w:r>
        <w:rPr>
          <w:rFonts w:eastAsia="Times New Roman" w:cstheme="minorHAnsi"/>
          <w:b/>
          <w:bCs/>
          <w:sz w:val="28"/>
          <w:szCs w:val="28"/>
          <w:lang w:eastAsia="en-GB"/>
        </w:rPr>
        <w:t>Assessing and implementing our TCF Principles</w:t>
      </w:r>
    </w:p>
    <w:p>
      <w:pPr>
        <w:shd w:val="clear" w:color="auto" w:fill="FFFFFF"/>
        <w:spacing w:after="120" w:line="432" w:lineRule="atLeast"/>
        <w:rPr>
          <w:rFonts w:eastAsia="Times New Roman" w:cstheme="minorHAnsi"/>
          <w:lang w:eastAsia="en-GB"/>
        </w:rPr>
      </w:pPr>
      <w:r>
        <w:rPr>
          <w:rFonts w:eastAsia="Times New Roman" w:cstheme="minorHAnsi"/>
          <w:b/>
          <w:bCs/>
          <w:lang w:eastAsia="en-GB"/>
        </w:rPr>
        <w:t>Marketing</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All our financial promotions and marketing materials are reviewed to ensure that they are appropriate for our target audience and are presented in a clear, fair and not misleading manner.</w:t>
      </w:r>
    </w:p>
    <w:p>
      <w:pPr>
        <w:shd w:val="clear" w:color="auto" w:fill="FFFFFF"/>
        <w:spacing w:after="120" w:line="432" w:lineRule="atLeast"/>
        <w:jc w:val="both"/>
        <w:rPr>
          <w:rFonts w:eastAsia="Times New Roman" w:cstheme="minorHAnsi"/>
          <w:lang w:eastAsia="en-GB"/>
        </w:rPr>
      </w:pPr>
      <w:r>
        <w:rPr>
          <w:rFonts w:eastAsia="Times New Roman" w:cstheme="minorHAnsi"/>
          <w:b/>
          <w:bCs/>
          <w:lang w:eastAsia="en-GB"/>
        </w:rPr>
        <w:t>Sales, Advice, Management</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When providing advice, our advisers obtain a detailed understanding of the customer’s needs so that our recommendations are suitable. We ensure that our customers understand the risks involved with any service or product offered and are aware of all fees and charges.</w:t>
      </w:r>
    </w:p>
    <w:p>
      <w:pPr>
        <w:shd w:val="clear" w:color="auto" w:fill="FFFFFF"/>
        <w:spacing w:after="120" w:line="432" w:lineRule="atLeast"/>
        <w:jc w:val="both"/>
        <w:rPr>
          <w:rFonts w:eastAsia="Times New Roman" w:cstheme="minorHAnsi"/>
          <w:lang w:eastAsia="en-GB"/>
        </w:rPr>
      </w:pPr>
      <w:r>
        <w:rPr>
          <w:rFonts w:eastAsia="Times New Roman" w:cstheme="minorHAnsi"/>
          <w:b/>
          <w:bCs/>
          <w:lang w:eastAsia="en-GB"/>
        </w:rPr>
        <w:t>Post-Sale Information and Support</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 xml:space="preserve">We strive to keep our customers informed pre, during and post contract. Appropriate records are held and can be provided as required on an ongoing basis. We have appropriate capacity for storing and processing information to ensure continuous support. We have no post-sale barriers in place which restrict customers’ access. </w:t>
      </w:r>
    </w:p>
    <w:p>
      <w:pPr>
        <w:shd w:val="clear" w:color="auto" w:fill="FFFFFF"/>
        <w:spacing w:after="120" w:line="432" w:lineRule="atLeast"/>
        <w:jc w:val="both"/>
        <w:rPr>
          <w:rFonts w:eastAsia="Times New Roman" w:cstheme="minorHAnsi"/>
          <w:b/>
          <w:bCs/>
          <w:lang w:eastAsia="en-GB"/>
        </w:rPr>
      </w:pPr>
    </w:p>
    <w:p>
      <w:pPr>
        <w:shd w:val="clear" w:color="auto" w:fill="FFFFFF"/>
        <w:spacing w:after="120" w:line="432" w:lineRule="atLeast"/>
        <w:jc w:val="both"/>
        <w:rPr>
          <w:rFonts w:eastAsia="Times New Roman" w:cstheme="minorHAnsi"/>
          <w:lang w:eastAsia="en-GB"/>
        </w:rPr>
      </w:pPr>
      <w:r>
        <w:rPr>
          <w:rFonts w:eastAsia="Times New Roman" w:cstheme="minorHAnsi"/>
          <w:b/>
          <w:bCs/>
          <w:lang w:eastAsia="en-GB"/>
        </w:rPr>
        <w:t>Policies and Procedures</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 xml:space="preserve">We have policies and procedures that are relevant to the fair treatment of our customers and which also meet FCA requirements. These are (this </w:t>
      </w:r>
      <w:r>
        <w:rPr>
          <w:rFonts w:hint="default" w:eastAsia="Times New Roman" w:cstheme="minorHAnsi"/>
          <w:lang w:val="en-US" w:eastAsia="en-GB"/>
        </w:rPr>
        <w:t xml:space="preserve">is </w:t>
      </w:r>
      <w:r>
        <w:rPr>
          <w:rFonts w:eastAsia="Times New Roman" w:cstheme="minorHAnsi"/>
          <w:lang w:eastAsia="en-GB"/>
        </w:rPr>
        <w:t>not an exhaustive list):</w:t>
      </w:r>
    </w:p>
    <w:p>
      <w:pPr>
        <w:numPr>
          <w:ilvl w:val="0"/>
          <w:numId w:val="5"/>
        </w:numPr>
        <w:shd w:val="clear" w:color="auto" w:fill="FFFFFF"/>
        <w:spacing w:after="24" w:line="432" w:lineRule="atLeast"/>
        <w:jc w:val="both"/>
        <w:rPr>
          <w:rFonts w:eastAsia="Times New Roman" w:cstheme="minorHAnsi"/>
          <w:lang w:eastAsia="en-GB"/>
        </w:rPr>
      </w:pPr>
      <w:r>
        <w:rPr>
          <w:rFonts w:eastAsia="Times New Roman" w:cstheme="minorHAnsi"/>
          <w:lang w:eastAsia="en-GB"/>
        </w:rPr>
        <w:t>Data Protection Policy</w:t>
      </w:r>
    </w:p>
    <w:p>
      <w:pPr>
        <w:numPr>
          <w:ilvl w:val="0"/>
          <w:numId w:val="5"/>
        </w:numPr>
        <w:shd w:val="clear" w:color="auto" w:fill="FFFFFF"/>
        <w:spacing w:after="24" w:line="432" w:lineRule="atLeast"/>
        <w:jc w:val="both"/>
        <w:rPr>
          <w:rFonts w:eastAsia="Times New Roman" w:cstheme="minorHAnsi"/>
          <w:lang w:eastAsia="en-GB"/>
        </w:rPr>
      </w:pPr>
      <w:r>
        <w:rPr>
          <w:rFonts w:eastAsia="Times New Roman" w:cstheme="minorHAnsi"/>
          <w:lang w:eastAsia="en-GB"/>
        </w:rPr>
        <w:t>Vulnerable Customers Policy</w:t>
      </w:r>
    </w:p>
    <w:p>
      <w:pPr>
        <w:numPr>
          <w:ilvl w:val="0"/>
          <w:numId w:val="5"/>
        </w:numPr>
        <w:shd w:val="clear" w:color="auto" w:fill="FFFFFF"/>
        <w:spacing w:after="24" w:line="432" w:lineRule="atLeast"/>
        <w:rPr>
          <w:rFonts w:eastAsia="Times New Roman" w:cstheme="minorHAnsi"/>
          <w:lang w:eastAsia="en-GB"/>
        </w:rPr>
      </w:pPr>
      <w:r>
        <w:rPr>
          <w:rFonts w:eastAsia="Times New Roman" w:cstheme="minorHAnsi"/>
          <w:lang w:eastAsia="en-GB"/>
        </w:rPr>
        <w:t>Complaint Handling Procedures</w:t>
      </w:r>
    </w:p>
    <w:p>
      <w:pPr>
        <w:shd w:val="clear" w:color="auto" w:fill="FFFFFF"/>
        <w:spacing w:after="120" w:line="432" w:lineRule="atLeast"/>
        <w:rPr>
          <w:rFonts w:eastAsia="Times New Roman" w:cstheme="minorHAnsi"/>
          <w:lang w:eastAsia="en-GB"/>
        </w:rPr>
      </w:pPr>
      <w:r>
        <w:rPr>
          <w:rFonts w:eastAsia="Times New Roman" w:cstheme="minorHAnsi"/>
          <w:b/>
          <w:bCs/>
          <w:lang w:eastAsia="en-GB"/>
        </w:rPr>
        <w:t>Management Information (MI)</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We produce MI to assess our performance against the TCF principles. We ensure that MI is accurate, timely, consistent and relevant to assist the business to make informed decisions in the best interests of our customers. We produce MI reports which are reviewed regularly by senior managers, directors and board members in various meetings.</w:t>
      </w:r>
    </w:p>
    <w:p>
      <w:pPr>
        <w:shd w:val="clear" w:color="auto" w:fill="FFFFFF"/>
        <w:spacing w:after="120" w:line="432" w:lineRule="atLeast"/>
        <w:rPr>
          <w:rFonts w:eastAsia="Times New Roman" w:cstheme="minorHAnsi"/>
          <w:lang w:eastAsia="en-GB"/>
        </w:rPr>
      </w:pPr>
      <w:r>
        <w:rPr>
          <w:rFonts w:eastAsia="Times New Roman" w:cstheme="minorHAnsi"/>
          <w:b/>
          <w:bCs/>
          <w:lang w:eastAsia="en-GB"/>
        </w:rPr>
        <w:t>Awareness/Training</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We ensure that all advisers and staff are familiar with the TCF Principle and its outcomes.  In addition, where applicable, advisers and staff are trained to advise on and adequately explain our products and services. We make sure that all advisers and staff achieve the necessary qualifications and training to carry out their role to the required competence level. We undertake regular monitoring and assessment of our advisers and staff so that we can ensure their competence.</w:t>
      </w:r>
    </w:p>
    <w:p>
      <w:pPr>
        <w:shd w:val="clear" w:color="auto" w:fill="FFFFFF"/>
        <w:spacing w:after="120" w:line="432" w:lineRule="atLeast"/>
        <w:jc w:val="both"/>
        <w:rPr>
          <w:rFonts w:eastAsia="Times New Roman" w:cstheme="minorHAnsi"/>
          <w:b/>
          <w:bCs/>
          <w:lang w:eastAsia="en-GB"/>
        </w:rPr>
      </w:pPr>
      <w:r>
        <w:rPr>
          <w:rFonts w:eastAsia="Times New Roman" w:cstheme="minorHAnsi"/>
          <w:b/>
          <w:bCs/>
          <w:lang w:eastAsia="en-GB"/>
        </w:rPr>
        <w:t>Compliance</w:t>
      </w:r>
    </w:p>
    <w:p>
      <w:pPr>
        <w:shd w:val="clear" w:color="auto" w:fill="FFFFFF"/>
        <w:spacing w:after="120" w:line="432" w:lineRule="atLeast"/>
        <w:rPr>
          <w:rFonts w:eastAsia="Times New Roman" w:cstheme="minorHAnsi"/>
          <w:lang w:eastAsia="en-GB"/>
        </w:rPr>
      </w:pPr>
      <w:r>
        <w:rPr>
          <w:rFonts w:eastAsia="Times New Roman" w:cstheme="minorHAnsi"/>
          <w:lang w:eastAsia="en-GB"/>
        </w:rPr>
        <w:t>We maintain a Compliance Monitoring Programme which clearly lists areas of responsibilities and the frequency of checks required.</w:t>
      </w:r>
    </w:p>
    <w:p>
      <w:pPr>
        <w:shd w:val="clear" w:color="auto" w:fill="FFFFFF"/>
        <w:spacing w:after="120" w:line="432" w:lineRule="atLeast"/>
        <w:rPr>
          <w:rFonts w:eastAsia="Times New Roman" w:cstheme="minorHAnsi"/>
          <w:lang w:eastAsia="en-GB"/>
        </w:rPr>
      </w:pPr>
      <w:r>
        <w:rPr>
          <w:rFonts w:eastAsia="Times New Roman" w:cstheme="minorHAnsi"/>
          <w:lang w:eastAsia="en-GB"/>
        </w:rPr>
        <w:t>We have a compliance team who is independent and regularly monitors all key areas of regulatory compliance including TCF.</w:t>
      </w:r>
    </w:p>
    <w:p>
      <w:pPr>
        <w:shd w:val="clear" w:color="auto" w:fill="FFFFFF"/>
        <w:spacing w:after="120" w:line="432" w:lineRule="atLeast"/>
        <w:rPr>
          <w:rFonts w:eastAsia="Times New Roman" w:cstheme="minorHAnsi"/>
          <w:lang w:eastAsia="en-GB"/>
        </w:rPr>
      </w:pPr>
      <w:r>
        <w:rPr>
          <w:rFonts w:eastAsia="Times New Roman" w:cstheme="minorHAnsi"/>
          <w:b/>
          <w:bCs/>
          <w:lang w:eastAsia="en-GB"/>
        </w:rPr>
        <w:t>Remuneration</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We operate a remuneration model that does not reward on sales performance, to mitigate sales bias. We reward non-sales staff in a which does not negatively impact on the treatment of our customers. All staff contribute to the firm’s overall target. The sale of finance is not incentivised.</w:t>
      </w:r>
    </w:p>
    <w:p>
      <w:pPr>
        <w:shd w:val="clear" w:color="auto" w:fill="FFFFFF"/>
        <w:spacing w:after="120" w:line="432" w:lineRule="atLeast"/>
        <w:jc w:val="both"/>
        <w:rPr>
          <w:rFonts w:eastAsia="Times New Roman" w:cstheme="minorHAnsi"/>
          <w:lang w:eastAsia="en-GB"/>
        </w:rPr>
      </w:pPr>
      <w:r>
        <w:rPr>
          <w:rFonts w:eastAsia="Times New Roman" w:cstheme="minorHAnsi"/>
          <w:b/>
          <w:bCs/>
          <w:lang w:eastAsia="en-GB"/>
        </w:rPr>
        <w:t>Complaints</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Our goal is to provide excellent customer service and complaint handling plays a major part in our TCF policy. We deal with customer complaints fairly and objectively and attempt to put things right as quickly as possible, in accordance with the requirements of the FCA Dispute &amp; Resolution Handbook. All complaints are recorded and monitored, and a root cause analysis performed. All are reported as MI and analysed in senior management meetings.</w:t>
      </w:r>
    </w:p>
    <w:p>
      <w:pPr>
        <w:shd w:val="clear" w:color="auto" w:fill="FFFFFF"/>
        <w:spacing w:after="120" w:line="432" w:lineRule="atLeast"/>
        <w:rPr>
          <w:rFonts w:eastAsia="Times New Roman" w:cstheme="minorHAnsi"/>
          <w:lang w:eastAsia="en-GB"/>
        </w:rPr>
      </w:pPr>
      <w:r>
        <w:rPr>
          <w:rFonts w:eastAsia="Times New Roman" w:cstheme="minorHAnsi"/>
          <w:b/>
          <w:bCs/>
          <w:lang w:eastAsia="en-GB"/>
        </w:rPr>
        <w:t>Conclusion</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We encourage a culture of personal responsibility and impress upon all involved with our firm that a good culture is central to the economic health of our firm. We strive to build a strong conduct culture which builds both customer trust and inspires employees. Getting the culture and conduct right is in the interests of our economic strength and our shareholders.</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We frequently review our policies, procedures and practices to ensure that TCF remains central to our firm.</w:t>
      </w:r>
    </w:p>
    <w:p>
      <w:pPr>
        <w:shd w:val="clear" w:color="auto" w:fill="FFFFFF"/>
        <w:spacing w:after="120" w:line="432" w:lineRule="atLeast"/>
        <w:jc w:val="both"/>
        <w:rPr>
          <w:rFonts w:eastAsia="Times New Roman" w:cstheme="minorHAnsi"/>
          <w:lang w:eastAsia="en-GB"/>
        </w:rPr>
      </w:pPr>
      <w:r>
        <w:rPr>
          <w:rFonts w:eastAsia="Times New Roman" w:cstheme="minorHAnsi"/>
          <w:lang w:eastAsia="en-GB"/>
        </w:rPr>
        <w:t>We ask our clients to provide us feedback, sometimes formally through customer surveys, so which enables us to improve our service. The information we gather from our customers is reported in our MI and reviewed by senior managers, directors and board members to help shape any strategic decisions.</w:t>
      </w:r>
    </w:p>
    <w:sectPr>
      <w:headerReference r:id="rId5" w:type="default"/>
      <w:footerReference r:id="rId6" w:type="default"/>
      <w:pgSz w:w="11907" w:h="16839"/>
      <w:pgMar w:top="1800" w:right="1440" w:bottom="450" w:left="1440" w:header="680" w:footer="165"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0F243E"/>
        <w:sz w:val="26"/>
        <w:szCs w:val="26"/>
      </w:rPr>
    </w:pPr>
  </w:p>
  <w:p>
    <w:pPr>
      <w:ind w:right="260"/>
      <w:rPr>
        <w:color w:val="0F243E"/>
        <w:sz w:val="26"/>
        <w:szCs w:val="26"/>
      </w:rPr>
    </w:pP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eastAsia="en-GB"/>
      </w:rPr>
      <w:drawing>
        <wp:anchor distT="0" distB="0" distL="114300" distR="114300" simplePos="0" relativeHeight="251659264" behindDoc="1" locked="0" layoutInCell="1" allowOverlap="1">
          <wp:simplePos x="0" y="0"/>
          <wp:positionH relativeFrom="page">
            <wp:posOffset>553085</wp:posOffset>
          </wp:positionH>
          <wp:positionV relativeFrom="page">
            <wp:posOffset>15875</wp:posOffset>
          </wp:positionV>
          <wp:extent cx="7007860" cy="1698625"/>
          <wp:effectExtent l="0" t="0" r="0" b="0"/>
          <wp:wrapNone/>
          <wp:docPr id="1" name="Picture 1" descr="ABC_Letterhead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C_Letterhead_2016"/>
                  <pic:cNvPicPr>
                    <a:picLocks noChangeAspect="1" noChangeArrowheads="1"/>
                  </pic:cNvPicPr>
                </pic:nvPicPr>
                <pic:blipFill>
                  <a:blip r:embed="rId1">
                    <a:extLst>
                      <a:ext uri="{28A0092B-C50C-407E-A947-70E740481C1C}">
                        <a14:useLocalDpi xmlns:a14="http://schemas.microsoft.com/office/drawing/2010/main" val="0"/>
                      </a:ext>
                    </a:extLst>
                  </a:blip>
                  <a:srcRect t="-2" b="82066"/>
                  <a:stretch>
                    <a:fillRect/>
                  </a:stretch>
                </pic:blipFill>
                <pic:spPr>
                  <a:xfrm>
                    <a:off x="0" y="0"/>
                    <a:ext cx="7007860" cy="1698625"/>
                  </a:xfrm>
                  <a:prstGeom prst="rect">
                    <a:avLst/>
                  </a:prstGeom>
                  <a:noFill/>
                  <a:ln>
                    <a:noFill/>
                  </a:ln>
                </pic:spPr>
              </pic:pic>
            </a:graphicData>
          </a:graphic>
        </wp:anchor>
      </w:drawing>
    </w:r>
    <w:r>
      <w:drawing>
        <wp:inline distT="0" distB="0" distL="114300" distR="114300">
          <wp:extent cx="4316095" cy="104775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stretch>
                    <a:fillRect/>
                  </a:stretch>
                </pic:blipFill>
                <pic:spPr>
                  <a:xfrm>
                    <a:off x="0" y="0"/>
                    <a:ext cx="4316095" cy="1047750"/>
                  </a:xfrm>
                  <a:prstGeom prst="rect">
                    <a:avLst/>
                  </a:prstGeom>
                </pic:spPr>
              </pic:pic>
            </a:graphicData>
          </a:graphic>
        </wp:inline>
      </w:drawing>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bullet"/>
      <w:lvlText w:val=""/>
      <w:lvlJc w:val="left"/>
      <w:pPr>
        <w:tabs>
          <w:tab w:val="left" w:pos="720"/>
        </w:tabs>
        <w:ind w:left="720" w:hanging="360"/>
      </w:pPr>
      <w:rPr>
        <w:rFonts w:ascii="Symbol" w:hAnsi="Symbol"/>
      </w:rPr>
    </w:lvl>
    <w:lvl w:ilvl="1" w:tentative="0">
      <w:start w:val="1"/>
      <w:numFmt w:val="bullet"/>
      <w:pStyle w:val="58"/>
      <w:lvlText w:val=""/>
      <w:lvlJc w:val="left"/>
      <w:pPr>
        <w:tabs>
          <w:tab w:val="left" w:pos="1080"/>
        </w:tabs>
        <w:ind w:left="1080" w:hanging="360"/>
      </w:pPr>
      <w:rPr>
        <w:rFonts w:ascii="Symbol" w:hAnsi="Symbol"/>
      </w:rPr>
    </w:lvl>
    <w:lvl w:ilvl="2" w:tentative="0">
      <w:start w:val="1"/>
      <w:numFmt w:val="bullet"/>
      <w:pStyle w:val="55"/>
      <w:lvlText w:val=""/>
      <w:lvlJc w:val="left"/>
      <w:pPr>
        <w:tabs>
          <w:tab w:val="left" w:pos="1440"/>
        </w:tabs>
        <w:ind w:left="1440" w:hanging="360"/>
      </w:pPr>
      <w:rPr>
        <w:rFonts w:ascii="Symbol" w:hAnsi="Symbol"/>
      </w:rPr>
    </w:lvl>
    <w:lvl w:ilvl="3" w:tentative="0">
      <w:start w:val="1"/>
      <w:numFmt w:val="bullet"/>
      <w:pStyle w:val="56"/>
      <w:lvlText w:val=""/>
      <w:lvlJc w:val="left"/>
      <w:pPr>
        <w:tabs>
          <w:tab w:val="left" w:pos="1800"/>
        </w:tabs>
        <w:ind w:left="1800" w:hanging="360"/>
      </w:pPr>
      <w:rPr>
        <w:rFonts w:ascii="Symbol" w:hAnsi="Symbol"/>
      </w:rPr>
    </w:lvl>
    <w:lvl w:ilvl="4" w:tentative="0">
      <w:start w:val="1"/>
      <w:numFmt w:val="bullet"/>
      <w:pStyle w:val="57"/>
      <w:lvlText w:val=""/>
      <w:lvlJc w:val="left"/>
      <w:pPr>
        <w:tabs>
          <w:tab w:val="left" w:pos="2160"/>
        </w:tabs>
        <w:ind w:left="2160" w:hanging="360"/>
      </w:pPr>
      <w:rPr>
        <w:rFonts w:ascii="Symbol" w:hAnsi="Symbol"/>
      </w:rPr>
    </w:lvl>
    <w:lvl w:ilvl="5" w:tentative="0">
      <w:start w:val="1"/>
      <w:numFmt w:val="bullet"/>
      <w:lvlText w:val=""/>
      <w:lvlJc w:val="left"/>
      <w:pPr>
        <w:tabs>
          <w:tab w:val="left" w:pos="2520"/>
        </w:tabs>
        <w:ind w:left="2520" w:hanging="360"/>
      </w:pPr>
      <w:rPr>
        <w:rFonts w:ascii="Symbol" w:hAnsi="Symbol"/>
      </w:rPr>
    </w:lvl>
    <w:lvl w:ilvl="6" w:tentative="0">
      <w:start w:val="1"/>
      <w:numFmt w:val="bullet"/>
      <w:lvlText w:val=""/>
      <w:lvlJc w:val="left"/>
      <w:pPr>
        <w:tabs>
          <w:tab w:val="left" w:pos="2880"/>
        </w:tabs>
        <w:ind w:left="2880" w:hanging="360"/>
      </w:pPr>
      <w:rPr>
        <w:rFonts w:ascii="Symbol" w:hAnsi="Symbol"/>
      </w:rPr>
    </w:lvl>
    <w:lvl w:ilvl="7" w:tentative="0">
      <w:start w:val="1"/>
      <w:numFmt w:val="bullet"/>
      <w:lvlText w:val=""/>
      <w:lvlJc w:val="left"/>
      <w:pPr>
        <w:tabs>
          <w:tab w:val="left" w:pos="3240"/>
        </w:tabs>
        <w:ind w:left="3240" w:hanging="360"/>
      </w:pPr>
      <w:rPr>
        <w:rFonts w:ascii="Symbol" w:hAnsi="Symbol"/>
      </w:rPr>
    </w:lvl>
    <w:lvl w:ilvl="8" w:tentative="0">
      <w:start w:val="1"/>
      <w:numFmt w:val="bullet"/>
      <w:lvlText w:val=""/>
      <w:lvlJc w:val="left"/>
      <w:pPr>
        <w:tabs>
          <w:tab w:val="left" w:pos="3600"/>
        </w:tabs>
        <w:ind w:left="3600" w:hanging="360"/>
      </w:pPr>
      <w:rPr>
        <w:rFonts w:ascii="Symbol" w:hAnsi="Symbol"/>
      </w:rPr>
    </w:lvl>
  </w:abstractNum>
  <w:abstractNum w:abstractNumId="1">
    <w:nsid w:val="0DF824E5"/>
    <w:multiLevelType w:val="multilevel"/>
    <w:tmpl w:val="0DF824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288051C"/>
    <w:multiLevelType w:val="multilevel"/>
    <w:tmpl w:val="2288051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36E05E6"/>
    <w:multiLevelType w:val="multilevel"/>
    <w:tmpl w:val="436E05E6"/>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1287"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4">
    <w:nsid w:val="6D54765E"/>
    <w:multiLevelType w:val="multilevel"/>
    <w:tmpl w:val="6D5476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8"/>
    <w:rsid w:val="00003202"/>
    <w:rsid w:val="000053CB"/>
    <w:rsid w:val="0001079C"/>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329D"/>
    <w:rsid w:val="00263F65"/>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053"/>
    <w:rsid w:val="003276F1"/>
    <w:rsid w:val="003310C9"/>
    <w:rsid w:val="00346DBC"/>
    <w:rsid w:val="00357FD3"/>
    <w:rsid w:val="003641F5"/>
    <w:rsid w:val="00366A15"/>
    <w:rsid w:val="0037593C"/>
    <w:rsid w:val="00376785"/>
    <w:rsid w:val="00387B8C"/>
    <w:rsid w:val="00397A59"/>
    <w:rsid w:val="003A3EAA"/>
    <w:rsid w:val="003A4498"/>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335E4"/>
    <w:rsid w:val="004353DC"/>
    <w:rsid w:val="00435B5E"/>
    <w:rsid w:val="00447B19"/>
    <w:rsid w:val="00451573"/>
    <w:rsid w:val="0045290B"/>
    <w:rsid w:val="00456938"/>
    <w:rsid w:val="00461A30"/>
    <w:rsid w:val="004810F0"/>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0709"/>
    <w:rsid w:val="00743573"/>
    <w:rsid w:val="00750B8C"/>
    <w:rsid w:val="00755280"/>
    <w:rsid w:val="007571AA"/>
    <w:rsid w:val="00757207"/>
    <w:rsid w:val="00757C9C"/>
    <w:rsid w:val="007730E3"/>
    <w:rsid w:val="00775D95"/>
    <w:rsid w:val="0077782F"/>
    <w:rsid w:val="007A23D2"/>
    <w:rsid w:val="007A3199"/>
    <w:rsid w:val="007B6B83"/>
    <w:rsid w:val="007D5F29"/>
    <w:rsid w:val="007E57E2"/>
    <w:rsid w:val="007E6EF6"/>
    <w:rsid w:val="007F5B7C"/>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B7DA5"/>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57DB"/>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2E98"/>
    <w:rsid w:val="00B858A9"/>
    <w:rsid w:val="00BA12A0"/>
    <w:rsid w:val="00BA1FD2"/>
    <w:rsid w:val="00BA5FD7"/>
    <w:rsid w:val="00BA75B8"/>
    <w:rsid w:val="00BB12CE"/>
    <w:rsid w:val="00BB39B6"/>
    <w:rsid w:val="00BC3ABB"/>
    <w:rsid w:val="00BD3542"/>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559AC"/>
    <w:rsid w:val="00D571DD"/>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 w:val="203F4C76"/>
    <w:rsid w:val="7A992956"/>
    <w:rsid w:val="7BD7306D"/>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1"/>
    <w:basedOn w:val="1"/>
    <w:next w:val="1"/>
    <w:link w:val="34"/>
    <w:qFormat/>
    <w:uiPriority w:val="9"/>
    <w:pPr>
      <w:keepNext/>
      <w:keepLines/>
      <w:numPr>
        <w:ilvl w:val="0"/>
        <w:numId w:val="1"/>
      </w:numPr>
      <w:spacing w:before="480" w:after="0"/>
      <w:outlineLvl w:val="0"/>
    </w:pPr>
    <w:rPr>
      <w:rFonts w:ascii="Arial" w:hAnsi="Arial" w:eastAsia="Times New Roman"/>
      <w:b/>
      <w:bCs/>
      <w:sz w:val="28"/>
      <w:szCs w:val="28"/>
    </w:rPr>
  </w:style>
  <w:style w:type="paragraph" w:styleId="3">
    <w:name w:val="heading 2"/>
    <w:basedOn w:val="1"/>
    <w:next w:val="1"/>
    <w:link w:val="35"/>
    <w:unhideWhenUsed/>
    <w:qFormat/>
    <w:uiPriority w:val="99"/>
    <w:pPr>
      <w:keepNext/>
      <w:keepLines/>
      <w:numPr>
        <w:ilvl w:val="1"/>
        <w:numId w:val="1"/>
      </w:numPr>
      <w:spacing w:before="200" w:after="0"/>
      <w:outlineLvl w:val="1"/>
    </w:pPr>
    <w:rPr>
      <w:rFonts w:ascii="Arial" w:hAnsi="Arial" w:eastAsia="Times New Roman"/>
      <w:b/>
      <w:bCs/>
      <w:sz w:val="24"/>
      <w:szCs w:val="26"/>
    </w:rPr>
  </w:style>
  <w:style w:type="paragraph" w:styleId="4">
    <w:name w:val="heading 3"/>
    <w:basedOn w:val="1"/>
    <w:next w:val="1"/>
    <w:link w:val="36"/>
    <w:unhideWhenUsed/>
    <w:qFormat/>
    <w:uiPriority w:val="99"/>
    <w:pPr>
      <w:keepNext/>
      <w:keepLines/>
      <w:numPr>
        <w:ilvl w:val="2"/>
        <w:numId w:val="1"/>
      </w:numPr>
      <w:spacing w:before="200" w:after="0"/>
      <w:outlineLvl w:val="2"/>
    </w:pPr>
    <w:rPr>
      <w:rFonts w:ascii="Arial" w:hAnsi="Arial" w:eastAsia="Times New Roman"/>
      <w:b/>
      <w:bCs/>
      <w:sz w:val="20"/>
    </w:rPr>
  </w:style>
  <w:style w:type="paragraph" w:styleId="5">
    <w:name w:val="heading 4"/>
    <w:basedOn w:val="1"/>
    <w:next w:val="1"/>
    <w:link w:val="37"/>
    <w:unhideWhenUsed/>
    <w:qFormat/>
    <w:uiPriority w:val="9"/>
    <w:pPr>
      <w:keepNext/>
      <w:keepLines/>
      <w:numPr>
        <w:ilvl w:val="3"/>
        <w:numId w:val="1"/>
      </w:numPr>
      <w:spacing w:before="200" w:after="0"/>
      <w:outlineLvl w:val="3"/>
    </w:pPr>
    <w:rPr>
      <w:rFonts w:ascii="Cambria" w:hAnsi="Cambria" w:eastAsia="Times New Roman"/>
      <w:b/>
      <w:bCs/>
      <w:i/>
      <w:iCs/>
      <w:color w:val="4F81BD"/>
    </w:rPr>
  </w:style>
  <w:style w:type="paragraph" w:styleId="6">
    <w:name w:val="heading 5"/>
    <w:basedOn w:val="1"/>
    <w:next w:val="1"/>
    <w:link w:val="38"/>
    <w:unhideWhenUsed/>
    <w:qFormat/>
    <w:uiPriority w:val="9"/>
    <w:pPr>
      <w:keepNext/>
      <w:keepLines/>
      <w:numPr>
        <w:ilvl w:val="4"/>
        <w:numId w:val="1"/>
      </w:numPr>
      <w:spacing w:before="200" w:after="0"/>
      <w:outlineLvl w:val="4"/>
    </w:pPr>
    <w:rPr>
      <w:rFonts w:ascii="Cambria" w:hAnsi="Cambria" w:eastAsia="Times New Roman"/>
      <w:color w:val="243F60"/>
    </w:rPr>
  </w:style>
  <w:style w:type="paragraph" w:styleId="7">
    <w:name w:val="heading 6"/>
    <w:basedOn w:val="1"/>
    <w:next w:val="1"/>
    <w:link w:val="39"/>
    <w:unhideWhenUsed/>
    <w:qFormat/>
    <w:uiPriority w:val="9"/>
    <w:pPr>
      <w:keepNext/>
      <w:keepLines/>
      <w:numPr>
        <w:ilvl w:val="5"/>
        <w:numId w:val="1"/>
      </w:numPr>
      <w:spacing w:before="200" w:after="0"/>
      <w:outlineLvl w:val="5"/>
    </w:pPr>
    <w:rPr>
      <w:rFonts w:ascii="Cambria" w:hAnsi="Cambria" w:eastAsia="Times New Roman"/>
      <w:i/>
      <w:iCs/>
      <w:color w:val="243F60"/>
    </w:rPr>
  </w:style>
  <w:style w:type="paragraph" w:styleId="8">
    <w:name w:val="heading 7"/>
    <w:basedOn w:val="1"/>
    <w:next w:val="1"/>
    <w:link w:val="40"/>
    <w:unhideWhenUsed/>
    <w:qFormat/>
    <w:uiPriority w:val="9"/>
    <w:pPr>
      <w:keepNext/>
      <w:keepLines/>
      <w:numPr>
        <w:ilvl w:val="6"/>
        <w:numId w:val="1"/>
      </w:numPr>
      <w:spacing w:before="200" w:after="0"/>
      <w:outlineLvl w:val="6"/>
    </w:pPr>
    <w:rPr>
      <w:rFonts w:ascii="Cambria" w:hAnsi="Cambria" w:eastAsia="Times New Roman"/>
      <w:i/>
      <w:iCs/>
      <w:color w:val="404040"/>
    </w:rPr>
  </w:style>
  <w:style w:type="paragraph" w:styleId="9">
    <w:name w:val="heading 8"/>
    <w:basedOn w:val="1"/>
    <w:next w:val="1"/>
    <w:link w:val="41"/>
    <w:unhideWhenUsed/>
    <w:qFormat/>
    <w:uiPriority w:val="9"/>
    <w:pPr>
      <w:keepNext/>
      <w:keepLines/>
      <w:numPr>
        <w:ilvl w:val="7"/>
        <w:numId w:val="1"/>
      </w:numPr>
      <w:spacing w:before="200" w:after="0"/>
      <w:outlineLvl w:val="7"/>
    </w:pPr>
    <w:rPr>
      <w:rFonts w:ascii="Cambria" w:hAnsi="Cambria" w:eastAsia="Times New Roman"/>
      <w:color w:val="404040"/>
      <w:sz w:val="20"/>
      <w:szCs w:val="20"/>
    </w:rPr>
  </w:style>
  <w:style w:type="paragraph" w:styleId="10">
    <w:name w:val="heading 9"/>
    <w:basedOn w:val="1"/>
    <w:next w:val="1"/>
    <w:link w:val="42"/>
    <w:unhideWhenUsed/>
    <w:qFormat/>
    <w:uiPriority w:val="9"/>
    <w:pPr>
      <w:keepNext/>
      <w:keepLines/>
      <w:numPr>
        <w:ilvl w:val="8"/>
        <w:numId w:val="1"/>
      </w:numPr>
      <w:spacing w:before="200" w:after="0"/>
      <w:outlineLvl w:val="8"/>
    </w:pPr>
    <w:rPr>
      <w:rFonts w:ascii="Cambria" w:hAnsi="Cambria" w:eastAsia="Times New Roman"/>
      <w:i/>
      <w:iCs/>
      <w:color w:val="404040"/>
      <w:sz w:val="20"/>
      <w:szCs w:val="20"/>
    </w:rPr>
  </w:style>
  <w:style w:type="character" w:default="1" w:styleId="11">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13">
    <w:name w:val="Balloon Text"/>
    <w:basedOn w:val="1"/>
    <w:link w:val="45"/>
    <w:unhideWhenUsed/>
    <w:qFormat/>
    <w:uiPriority w:val="99"/>
    <w:pPr>
      <w:spacing w:after="0" w:line="240" w:lineRule="auto"/>
    </w:pPr>
    <w:rPr>
      <w:rFonts w:ascii="Tahoma" w:hAnsi="Tahoma" w:cs="Tahoma"/>
      <w:sz w:val="16"/>
      <w:szCs w:val="16"/>
    </w:rPr>
  </w:style>
  <w:style w:type="paragraph" w:styleId="14">
    <w:name w:val="Body Text"/>
    <w:basedOn w:val="1"/>
    <w:link w:val="51"/>
    <w:semiHidden/>
    <w:qFormat/>
    <w:uiPriority w:val="99"/>
    <w:pPr>
      <w:spacing w:after="240" w:line="240" w:lineRule="auto"/>
    </w:pPr>
    <w:rPr>
      <w:rFonts w:ascii="Times New Roman" w:hAnsi="Times New Roman" w:eastAsia="Times New Roman"/>
      <w:szCs w:val="24"/>
    </w:rPr>
  </w:style>
  <w:style w:type="paragraph" w:styleId="15">
    <w:name w:val="caption"/>
    <w:basedOn w:val="1"/>
    <w:next w:val="1"/>
    <w:qFormat/>
    <w:uiPriority w:val="99"/>
    <w:pPr>
      <w:spacing w:before="120" w:after="120" w:line="240" w:lineRule="auto"/>
    </w:pPr>
    <w:rPr>
      <w:rFonts w:ascii="Times New Roman" w:hAnsi="Times New Roman" w:eastAsia="Times New Roman"/>
      <w:b/>
      <w:bCs/>
      <w:szCs w:val="20"/>
    </w:rPr>
  </w:style>
  <w:style w:type="character" w:styleId="16">
    <w:name w:val="annotation reference"/>
    <w:basedOn w:val="11"/>
    <w:unhideWhenUsed/>
    <w:qFormat/>
    <w:uiPriority w:val="99"/>
    <w:rPr>
      <w:sz w:val="16"/>
      <w:szCs w:val="16"/>
    </w:rPr>
  </w:style>
  <w:style w:type="paragraph" w:styleId="17">
    <w:name w:val="annotation text"/>
    <w:basedOn w:val="1"/>
    <w:link w:val="63"/>
    <w:unhideWhenUsed/>
    <w:qFormat/>
    <w:uiPriority w:val="99"/>
    <w:pPr>
      <w:spacing w:line="240" w:lineRule="auto"/>
    </w:pPr>
    <w:rPr>
      <w:sz w:val="20"/>
      <w:szCs w:val="20"/>
    </w:rPr>
  </w:style>
  <w:style w:type="paragraph" w:styleId="18">
    <w:name w:val="annotation subject"/>
    <w:basedOn w:val="17"/>
    <w:next w:val="17"/>
    <w:link w:val="64"/>
    <w:unhideWhenUsed/>
    <w:qFormat/>
    <w:uiPriority w:val="99"/>
    <w:rPr>
      <w:b/>
      <w:bCs/>
    </w:rPr>
  </w:style>
  <w:style w:type="character" w:styleId="19">
    <w:name w:val="Emphasis"/>
    <w:qFormat/>
    <w:uiPriority w:val="99"/>
    <w:rPr>
      <w:rFonts w:cs="Times New Roman"/>
      <w:i/>
    </w:rPr>
  </w:style>
  <w:style w:type="paragraph" w:styleId="20">
    <w:name w:val="footer"/>
    <w:basedOn w:val="1"/>
    <w:link w:val="49"/>
    <w:unhideWhenUsed/>
    <w:qFormat/>
    <w:uiPriority w:val="99"/>
    <w:pPr>
      <w:tabs>
        <w:tab w:val="center" w:pos="4680"/>
        <w:tab w:val="right" w:pos="9360"/>
      </w:tabs>
      <w:spacing w:after="0" w:line="240" w:lineRule="auto"/>
    </w:pPr>
  </w:style>
  <w:style w:type="paragraph" w:styleId="21">
    <w:name w:val="header"/>
    <w:basedOn w:val="1"/>
    <w:link w:val="48"/>
    <w:unhideWhenUsed/>
    <w:qFormat/>
    <w:uiPriority w:val="99"/>
    <w:pPr>
      <w:tabs>
        <w:tab w:val="center" w:pos="4680"/>
        <w:tab w:val="right" w:pos="9360"/>
      </w:tabs>
      <w:spacing w:after="0" w:line="240" w:lineRule="auto"/>
    </w:pPr>
  </w:style>
  <w:style w:type="character" w:styleId="22">
    <w:name w:val="Hyperlink"/>
    <w:basedOn w:val="11"/>
    <w:unhideWhenUsed/>
    <w:qFormat/>
    <w:uiPriority w:val="99"/>
    <w:rPr>
      <w:color w:val="0000FF"/>
      <w:u w:val="single"/>
    </w:rPr>
  </w:style>
  <w:style w:type="character" w:styleId="23">
    <w:name w:val="Strong"/>
    <w:basedOn w:val="11"/>
    <w:qFormat/>
    <w:uiPriority w:val="22"/>
    <w:rPr>
      <w:b/>
      <w:bCs/>
    </w:rPr>
  </w:style>
  <w:style w:type="table" w:styleId="24">
    <w:name w:val="Table Grid"/>
    <w:basedOn w:val="12"/>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toc 1"/>
    <w:basedOn w:val="1"/>
    <w:next w:val="1"/>
    <w:unhideWhenUsed/>
    <w:qFormat/>
    <w:uiPriority w:val="39"/>
    <w:pPr>
      <w:spacing w:after="100"/>
    </w:pPr>
  </w:style>
  <w:style w:type="paragraph" w:styleId="26">
    <w:name w:val="toc 2"/>
    <w:basedOn w:val="1"/>
    <w:next w:val="1"/>
    <w:unhideWhenUsed/>
    <w:qFormat/>
    <w:uiPriority w:val="39"/>
    <w:pPr>
      <w:tabs>
        <w:tab w:val="left" w:pos="880"/>
        <w:tab w:val="right" w:leader="dot" w:pos="9016"/>
      </w:tabs>
      <w:spacing w:after="100" w:line="240" w:lineRule="auto"/>
      <w:ind w:left="450" w:hanging="230"/>
    </w:pPr>
  </w:style>
  <w:style w:type="paragraph" w:styleId="27">
    <w:name w:val="toc 3"/>
    <w:basedOn w:val="1"/>
    <w:next w:val="1"/>
    <w:unhideWhenUsed/>
    <w:qFormat/>
    <w:uiPriority w:val="39"/>
    <w:pPr>
      <w:tabs>
        <w:tab w:val="left" w:pos="1320"/>
        <w:tab w:val="right" w:leader="dot" w:pos="9017"/>
      </w:tabs>
      <w:spacing w:after="100"/>
      <w:ind w:left="450"/>
    </w:pPr>
  </w:style>
  <w:style w:type="paragraph" w:styleId="28">
    <w:name w:val="toc 4"/>
    <w:basedOn w:val="1"/>
    <w:next w:val="1"/>
    <w:unhideWhenUsed/>
    <w:qFormat/>
    <w:uiPriority w:val="39"/>
    <w:pPr>
      <w:spacing w:after="100" w:line="259" w:lineRule="auto"/>
      <w:ind w:left="660"/>
    </w:pPr>
    <w:rPr>
      <w:rFonts w:asciiTheme="minorHAnsi" w:hAnsiTheme="minorHAnsi" w:eastAsiaTheme="minorEastAsia" w:cstheme="minorBidi"/>
      <w:lang w:eastAsia="en-GB"/>
    </w:rPr>
  </w:style>
  <w:style w:type="paragraph" w:styleId="29">
    <w:name w:val="toc 5"/>
    <w:basedOn w:val="1"/>
    <w:next w:val="1"/>
    <w:unhideWhenUsed/>
    <w:qFormat/>
    <w:uiPriority w:val="39"/>
    <w:pPr>
      <w:spacing w:after="100" w:line="259" w:lineRule="auto"/>
      <w:ind w:left="880"/>
    </w:pPr>
    <w:rPr>
      <w:rFonts w:asciiTheme="minorHAnsi" w:hAnsiTheme="minorHAnsi" w:eastAsiaTheme="minorEastAsia" w:cstheme="minorBidi"/>
      <w:lang w:eastAsia="en-GB"/>
    </w:rPr>
  </w:style>
  <w:style w:type="paragraph" w:styleId="30">
    <w:name w:val="toc 6"/>
    <w:basedOn w:val="1"/>
    <w:next w:val="1"/>
    <w:unhideWhenUsed/>
    <w:qFormat/>
    <w:uiPriority w:val="39"/>
    <w:pPr>
      <w:spacing w:after="100" w:line="259" w:lineRule="auto"/>
      <w:ind w:left="1100"/>
    </w:pPr>
    <w:rPr>
      <w:rFonts w:asciiTheme="minorHAnsi" w:hAnsiTheme="minorHAnsi" w:eastAsiaTheme="minorEastAsia" w:cstheme="minorBidi"/>
      <w:lang w:eastAsia="en-GB"/>
    </w:rPr>
  </w:style>
  <w:style w:type="paragraph" w:styleId="31">
    <w:name w:val="toc 7"/>
    <w:basedOn w:val="1"/>
    <w:next w:val="1"/>
    <w:unhideWhenUsed/>
    <w:qFormat/>
    <w:uiPriority w:val="39"/>
    <w:pPr>
      <w:spacing w:after="100" w:line="259" w:lineRule="auto"/>
      <w:ind w:left="1320"/>
    </w:pPr>
    <w:rPr>
      <w:rFonts w:asciiTheme="minorHAnsi" w:hAnsiTheme="minorHAnsi" w:eastAsiaTheme="minorEastAsia" w:cstheme="minorBidi"/>
      <w:lang w:eastAsia="en-GB"/>
    </w:rPr>
  </w:style>
  <w:style w:type="paragraph" w:styleId="32">
    <w:name w:val="toc 8"/>
    <w:basedOn w:val="1"/>
    <w:next w:val="1"/>
    <w:unhideWhenUsed/>
    <w:qFormat/>
    <w:uiPriority w:val="39"/>
    <w:pPr>
      <w:spacing w:after="100" w:line="259" w:lineRule="auto"/>
      <w:ind w:left="1540"/>
    </w:pPr>
    <w:rPr>
      <w:rFonts w:asciiTheme="minorHAnsi" w:hAnsiTheme="minorHAnsi" w:eastAsiaTheme="minorEastAsia" w:cstheme="minorBidi"/>
      <w:lang w:eastAsia="en-GB"/>
    </w:rPr>
  </w:style>
  <w:style w:type="paragraph" w:styleId="33">
    <w:name w:val="toc 9"/>
    <w:basedOn w:val="1"/>
    <w:next w:val="1"/>
    <w:unhideWhenUsed/>
    <w:qFormat/>
    <w:uiPriority w:val="39"/>
    <w:pPr>
      <w:spacing w:after="100" w:line="259" w:lineRule="auto"/>
      <w:ind w:left="1760"/>
    </w:pPr>
    <w:rPr>
      <w:rFonts w:asciiTheme="minorHAnsi" w:hAnsiTheme="minorHAnsi" w:eastAsiaTheme="minorEastAsia" w:cstheme="minorBidi"/>
      <w:lang w:eastAsia="en-GB"/>
    </w:rPr>
  </w:style>
  <w:style w:type="character" w:customStyle="1" w:styleId="34">
    <w:name w:val="Heading 1 Char"/>
    <w:basedOn w:val="11"/>
    <w:link w:val="2"/>
    <w:uiPriority w:val="9"/>
    <w:rPr>
      <w:rFonts w:ascii="Arial" w:hAnsi="Arial" w:eastAsia="Times New Roman"/>
      <w:b/>
      <w:bCs/>
      <w:sz w:val="28"/>
      <w:szCs w:val="28"/>
      <w:lang w:eastAsia="en-US"/>
    </w:rPr>
  </w:style>
  <w:style w:type="character" w:customStyle="1" w:styleId="35">
    <w:name w:val="Heading 2 Char"/>
    <w:basedOn w:val="11"/>
    <w:link w:val="3"/>
    <w:uiPriority w:val="99"/>
    <w:rPr>
      <w:rFonts w:ascii="Arial" w:hAnsi="Arial" w:eastAsia="Times New Roman"/>
      <w:b/>
      <w:bCs/>
      <w:sz w:val="24"/>
      <w:szCs w:val="26"/>
      <w:lang w:eastAsia="en-US"/>
    </w:rPr>
  </w:style>
  <w:style w:type="character" w:customStyle="1" w:styleId="36">
    <w:name w:val="Heading 3 Char"/>
    <w:basedOn w:val="11"/>
    <w:link w:val="4"/>
    <w:uiPriority w:val="99"/>
    <w:rPr>
      <w:rFonts w:ascii="Arial" w:hAnsi="Arial" w:eastAsia="Times New Roman"/>
      <w:b/>
      <w:bCs/>
      <w:szCs w:val="22"/>
      <w:lang w:eastAsia="en-US"/>
    </w:rPr>
  </w:style>
  <w:style w:type="character" w:customStyle="1" w:styleId="37">
    <w:name w:val="Heading 4 Char"/>
    <w:basedOn w:val="11"/>
    <w:link w:val="5"/>
    <w:uiPriority w:val="9"/>
    <w:rPr>
      <w:rFonts w:ascii="Cambria" w:hAnsi="Cambria" w:eastAsia="Times New Roman"/>
      <w:b/>
      <w:bCs/>
      <w:i/>
      <w:iCs/>
      <w:color w:val="4F81BD"/>
      <w:sz w:val="22"/>
      <w:szCs w:val="22"/>
      <w:lang w:eastAsia="en-US"/>
    </w:rPr>
  </w:style>
  <w:style w:type="character" w:customStyle="1" w:styleId="38">
    <w:name w:val="Heading 5 Char"/>
    <w:basedOn w:val="11"/>
    <w:link w:val="6"/>
    <w:uiPriority w:val="9"/>
    <w:rPr>
      <w:rFonts w:ascii="Cambria" w:hAnsi="Cambria" w:eastAsia="Times New Roman"/>
      <w:color w:val="243F60"/>
      <w:sz w:val="22"/>
      <w:szCs w:val="22"/>
      <w:lang w:eastAsia="en-US"/>
    </w:rPr>
  </w:style>
  <w:style w:type="character" w:customStyle="1" w:styleId="39">
    <w:name w:val="Heading 6 Char"/>
    <w:basedOn w:val="11"/>
    <w:link w:val="7"/>
    <w:uiPriority w:val="9"/>
    <w:rPr>
      <w:rFonts w:ascii="Cambria" w:hAnsi="Cambria" w:eastAsia="Times New Roman"/>
      <w:i/>
      <w:iCs/>
      <w:color w:val="243F60"/>
      <w:sz w:val="22"/>
      <w:szCs w:val="22"/>
      <w:lang w:eastAsia="en-US"/>
    </w:rPr>
  </w:style>
  <w:style w:type="character" w:customStyle="1" w:styleId="40">
    <w:name w:val="Heading 7 Char"/>
    <w:basedOn w:val="11"/>
    <w:link w:val="8"/>
    <w:uiPriority w:val="9"/>
    <w:rPr>
      <w:rFonts w:ascii="Cambria" w:hAnsi="Cambria" w:eastAsia="Times New Roman"/>
      <w:i/>
      <w:iCs/>
      <w:color w:val="404040"/>
      <w:sz w:val="22"/>
      <w:szCs w:val="22"/>
      <w:lang w:eastAsia="en-US"/>
    </w:rPr>
  </w:style>
  <w:style w:type="character" w:customStyle="1" w:styleId="41">
    <w:name w:val="Heading 8 Char"/>
    <w:basedOn w:val="11"/>
    <w:link w:val="9"/>
    <w:semiHidden/>
    <w:uiPriority w:val="9"/>
    <w:rPr>
      <w:rFonts w:ascii="Cambria" w:hAnsi="Cambria" w:eastAsia="Times New Roman"/>
      <w:color w:val="404040"/>
      <w:lang w:eastAsia="en-US"/>
    </w:rPr>
  </w:style>
  <w:style w:type="character" w:customStyle="1" w:styleId="42">
    <w:name w:val="Heading 9 Char"/>
    <w:basedOn w:val="11"/>
    <w:link w:val="10"/>
    <w:semiHidden/>
    <w:qFormat/>
    <w:uiPriority w:val="9"/>
    <w:rPr>
      <w:rFonts w:ascii="Cambria" w:hAnsi="Cambria" w:eastAsia="Times New Roman"/>
      <w:i/>
      <w:iCs/>
      <w:color w:val="404040"/>
      <w:lang w:eastAsia="en-US"/>
    </w:rPr>
  </w:style>
  <w:style w:type="paragraph" w:customStyle="1" w:styleId="43">
    <w:name w:val="No Spacing"/>
    <w:link w:val="44"/>
    <w:qFormat/>
    <w:uiPriority w:val="1"/>
    <w:rPr>
      <w:rFonts w:ascii="Calibri" w:hAnsi="Calibri" w:eastAsia="Calibri" w:cs="Times New Roman"/>
      <w:sz w:val="22"/>
      <w:szCs w:val="22"/>
      <w:lang w:val="en-US" w:eastAsia="en-US" w:bidi="ar-SA"/>
    </w:rPr>
  </w:style>
  <w:style w:type="character" w:customStyle="1" w:styleId="44">
    <w:name w:val="No Spacing Char"/>
    <w:basedOn w:val="11"/>
    <w:link w:val="43"/>
    <w:uiPriority w:val="1"/>
    <w:rPr>
      <w:sz w:val="22"/>
      <w:szCs w:val="22"/>
      <w:lang w:val="en-US" w:eastAsia="en-US"/>
    </w:rPr>
  </w:style>
  <w:style w:type="character" w:customStyle="1" w:styleId="45">
    <w:name w:val="Balloon Text Char"/>
    <w:basedOn w:val="11"/>
    <w:link w:val="13"/>
    <w:semiHidden/>
    <w:uiPriority w:val="99"/>
    <w:rPr>
      <w:rFonts w:ascii="Tahoma" w:hAnsi="Tahoma" w:cs="Tahoma"/>
      <w:sz w:val="16"/>
      <w:szCs w:val="16"/>
    </w:rPr>
  </w:style>
  <w:style w:type="paragraph" w:customStyle="1" w:styleId="46">
    <w:name w:val="TOC Heading"/>
    <w:basedOn w:val="2"/>
    <w:next w:val="1"/>
    <w:unhideWhenUsed/>
    <w:qFormat/>
    <w:uiPriority w:val="39"/>
    <w:pPr>
      <w:outlineLvl w:val="9"/>
    </w:pPr>
    <w:rPr>
      <w:lang w:val="en-US"/>
    </w:rPr>
  </w:style>
  <w:style w:type="paragraph" w:customStyle="1" w:styleId="47">
    <w:name w:val="List Paragraph"/>
    <w:basedOn w:val="1"/>
    <w:qFormat/>
    <w:uiPriority w:val="34"/>
    <w:pPr>
      <w:ind w:left="720"/>
      <w:contextualSpacing/>
    </w:pPr>
  </w:style>
  <w:style w:type="character" w:customStyle="1" w:styleId="48">
    <w:name w:val="Header Char"/>
    <w:basedOn w:val="11"/>
    <w:link w:val="21"/>
    <w:uiPriority w:val="99"/>
    <w:rPr>
      <w:lang w:val="en-GB"/>
    </w:rPr>
  </w:style>
  <w:style w:type="character" w:customStyle="1" w:styleId="49">
    <w:name w:val="Footer Char"/>
    <w:basedOn w:val="11"/>
    <w:link w:val="20"/>
    <w:uiPriority w:val="99"/>
    <w:rPr>
      <w:lang w:val="en-GB"/>
    </w:rPr>
  </w:style>
  <w:style w:type="paragraph" w:customStyle="1" w:styleId="50">
    <w:name w:val="[Basic Paragraph]"/>
    <w:basedOn w:val="1"/>
    <w:uiPriority w:val="9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51">
    <w:name w:val="Body Text Char2"/>
    <w:link w:val="14"/>
    <w:semiHidden/>
    <w:locked/>
    <w:uiPriority w:val="99"/>
    <w:rPr>
      <w:rFonts w:ascii="Times New Roman" w:hAnsi="Times New Roman" w:eastAsia="Times New Roman"/>
      <w:sz w:val="22"/>
      <w:szCs w:val="24"/>
      <w:lang w:eastAsia="en-US"/>
    </w:rPr>
  </w:style>
  <w:style w:type="character" w:customStyle="1" w:styleId="52">
    <w:name w:val="Body Text Char"/>
    <w:basedOn w:val="11"/>
    <w:semiHidden/>
    <w:uiPriority w:val="99"/>
    <w:rPr>
      <w:sz w:val="22"/>
      <w:szCs w:val="22"/>
      <w:lang w:eastAsia="en-US"/>
    </w:rPr>
  </w:style>
  <w:style w:type="character" w:customStyle="1" w:styleId="53">
    <w:name w:val="apple-style-span"/>
    <w:uiPriority w:val="99"/>
    <w:rPr>
      <w:rFonts w:cs="Times New Roman"/>
    </w:rPr>
  </w:style>
  <w:style w:type="character" w:customStyle="1" w:styleId="54">
    <w:name w:val="apple-converted-space"/>
    <w:basedOn w:val="11"/>
    <w:uiPriority w:val="99"/>
  </w:style>
  <w:style w:type="paragraph" w:customStyle="1" w:styleId="55">
    <w:name w:val="CMS Head L3"/>
    <w:basedOn w:val="1"/>
    <w:uiPriority w:val="99"/>
    <w:pPr>
      <w:numPr>
        <w:ilvl w:val="2"/>
        <w:numId w:val="2"/>
      </w:numPr>
      <w:tabs>
        <w:tab w:val="left" w:pos="851"/>
      </w:tabs>
      <w:spacing w:after="240" w:line="240" w:lineRule="auto"/>
      <w:ind w:left="851" w:hanging="851"/>
      <w:outlineLvl w:val="2"/>
    </w:pPr>
    <w:rPr>
      <w:rFonts w:ascii="Times New Roman" w:hAnsi="Times New Roman" w:eastAsia="Times New Roman"/>
      <w:szCs w:val="24"/>
    </w:rPr>
  </w:style>
  <w:style w:type="paragraph" w:customStyle="1" w:styleId="56">
    <w:name w:val="CMS Head L4"/>
    <w:basedOn w:val="1"/>
    <w:uiPriority w:val="99"/>
    <w:pPr>
      <w:numPr>
        <w:ilvl w:val="3"/>
        <w:numId w:val="2"/>
      </w:numPr>
      <w:tabs>
        <w:tab w:val="left" w:pos="1702"/>
      </w:tabs>
      <w:spacing w:after="240" w:line="240" w:lineRule="auto"/>
      <w:ind w:left="1702" w:hanging="851"/>
      <w:outlineLvl w:val="3"/>
    </w:pPr>
    <w:rPr>
      <w:rFonts w:ascii="Times New Roman" w:hAnsi="Times New Roman" w:eastAsia="Times New Roman"/>
      <w:szCs w:val="24"/>
    </w:rPr>
  </w:style>
  <w:style w:type="paragraph" w:customStyle="1" w:styleId="57">
    <w:name w:val="CMS Head L5"/>
    <w:basedOn w:val="1"/>
    <w:uiPriority w:val="99"/>
    <w:pPr>
      <w:numPr>
        <w:ilvl w:val="4"/>
        <w:numId w:val="2"/>
      </w:numPr>
      <w:tabs>
        <w:tab w:val="left" w:pos="2552"/>
      </w:tabs>
      <w:spacing w:after="240" w:line="240" w:lineRule="auto"/>
      <w:ind w:left="2552" w:hanging="851"/>
      <w:outlineLvl w:val="4"/>
    </w:pPr>
    <w:rPr>
      <w:rFonts w:ascii="Times New Roman" w:hAnsi="Times New Roman" w:eastAsia="Times New Roman"/>
      <w:szCs w:val="24"/>
    </w:rPr>
  </w:style>
  <w:style w:type="paragraph" w:customStyle="1" w:styleId="58">
    <w:name w:val="CMS Head L2"/>
    <w:basedOn w:val="1"/>
    <w:next w:val="55"/>
    <w:qFormat/>
    <w:uiPriority w:val="99"/>
    <w:pPr>
      <w:keepNext/>
      <w:keepLines/>
      <w:numPr>
        <w:ilvl w:val="1"/>
        <w:numId w:val="2"/>
      </w:numPr>
      <w:tabs>
        <w:tab w:val="left" w:pos="851"/>
      </w:tabs>
      <w:spacing w:before="240" w:after="240" w:line="240" w:lineRule="auto"/>
      <w:ind w:left="851" w:hanging="851"/>
      <w:outlineLvl w:val="1"/>
    </w:pPr>
    <w:rPr>
      <w:rFonts w:ascii="Times New Roman" w:hAnsi="Times New Roman" w:eastAsia="Times New Roman"/>
      <w:b/>
      <w:szCs w:val="24"/>
    </w:rPr>
  </w:style>
  <w:style w:type="character" w:customStyle="1" w:styleId="59">
    <w:name w:val="showinstr"/>
    <w:basedOn w:val="11"/>
    <w:uiPriority w:val="0"/>
  </w:style>
  <w:style w:type="character" w:customStyle="1" w:styleId="60">
    <w:name w:val="subparatext"/>
    <w:basedOn w:val="11"/>
    <w:uiPriority w:val="99"/>
  </w:style>
  <w:style w:type="character" w:customStyle="1" w:styleId="61">
    <w:name w:val="highlight"/>
    <w:basedOn w:val="11"/>
    <w:uiPriority w:val="0"/>
  </w:style>
  <w:style w:type="paragraph" w:customStyle="1" w:styleId="62">
    <w:name w:val="Default"/>
    <w:uiPriority w:val="0"/>
    <w:pPr>
      <w:autoSpaceDE w:val="0"/>
      <w:autoSpaceDN w:val="0"/>
      <w:adjustRightInd w:val="0"/>
    </w:pPr>
    <w:rPr>
      <w:rFonts w:ascii="Arial" w:hAnsi="Arial" w:cs="Arial" w:eastAsiaTheme="minorHAnsi"/>
      <w:color w:val="000000"/>
      <w:sz w:val="24"/>
      <w:szCs w:val="24"/>
      <w:lang w:val="en-GB" w:eastAsia="en-US" w:bidi="ar-SA"/>
    </w:rPr>
  </w:style>
  <w:style w:type="character" w:customStyle="1" w:styleId="63">
    <w:name w:val="Comment Text Char"/>
    <w:basedOn w:val="11"/>
    <w:link w:val="17"/>
    <w:semiHidden/>
    <w:uiPriority w:val="99"/>
    <w:rPr>
      <w:lang w:eastAsia="en-US"/>
    </w:rPr>
  </w:style>
  <w:style w:type="character" w:customStyle="1" w:styleId="64">
    <w:name w:val="Comment Subject Char"/>
    <w:basedOn w:val="63"/>
    <w:link w:val="18"/>
    <w:semiHidden/>
    <w:uiPriority w:val="99"/>
    <w:rPr>
      <w:b/>
      <w:bCs/>
      <w:lang w:eastAsia="en-US"/>
    </w:rPr>
  </w:style>
  <w:style w:type="character" w:customStyle="1" w:styleId="65">
    <w:name w:val="Unresolved Mention"/>
    <w:basedOn w:val="11"/>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
  <CompanyPhone/>
  <CompanyFax/>
  <CompanyEmail>info@consumercreditcompliance.co.uk</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4D35F-CBA6-4E40-B9E9-FFD6EB751BA2}">
  <ds:schemaRefs/>
</ds:datastoreItem>
</file>

<file path=customXml/itemProps2.xml><?xml version="1.0" encoding="utf-8"?>
<ds:datastoreItem xmlns:ds="http://schemas.openxmlformats.org/officeDocument/2006/customXml" ds:itemID="{C8ACC760-33A9-40BE-AF1D-B6F149A1E920}">
  <ds:schemaRefs/>
</ds:datastoreItem>
</file>

<file path=customXml/itemProps3.xml><?xml version="1.0" encoding="utf-8"?>
<ds:datastoreItem xmlns:ds="http://schemas.openxmlformats.org/officeDocument/2006/customXml" ds:itemID="{55AF091B-3C7A-41E3-B477-F2FDAA23CFDA}">
  <ds:schemaRefs/>
</ds:datastoreItem>
</file>

<file path=customXml/itemProps4.xml><?xml version="1.0" encoding="utf-8"?>
<ds:datastoreItem xmlns:ds="http://schemas.openxmlformats.org/officeDocument/2006/customXml" ds:itemID="{5362406E-95B3-4996-B463-92DCFB889E3B}">
  <ds:schemaRefs/>
</ds:datastoreItem>
</file>

<file path=customXml/itemProps5.xml><?xml version="1.0" encoding="utf-8"?>
<ds:datastoreItem xmlns:ds="http://schemas.openxmlformats.org/officeDocument/2006/customXml" ds:itemID="{70921A1C-37E6-4AC6-A8B6-6D2439ADDF35}">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913</Words>
  <Characters>5210</Characters>
  <Lines>43</Lines>
  <Paragraphs>12</Paragraphs>
  <TotalTime>4</TotalTime>
  <ScaleCrop>false</ScaleCrop>
  <LinksUpToDate>false</LinksUpToDate>
  <CharactersWithSpaces>6111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2019-07-30T09:12:00Z</dcterms:created>
  <dc:creator>Consumer Credit Compliance</dc:creator>
  <cp:lastModifiedBy>david-jones30</cp:lastModifiedBy>
  <cp:lastPrinted>2017-04-05T15:01:00Z</cp:lastPrinted>
  <dcterms:modified xsi:type="dcterms:W3CDTF">2023-07-03T09:23:55Z</dcterms:modified>
  <dc:title>Appointed Representative Agreement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y fmtid="{D5CDD505-2E9C-101B-9397-08002B2CF9AE}" pid="3" name="KSOProductBuildVer">
    <vt:lpwstr>2057-11.2.0.11537</vt:lpwstr>
  </property>
  <property fmtid="{D5CDD505-2E9C-101B-9397-08002B2CF9AE}" pid="4" name="ICV">
    <vt:lpwstr>A617FEBA52B942E29936057F3E7DB78A</vt:lpwstr>
  </property>
</Properties>
</file>